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97" w:rsidRDefault="009E7497" w:rsidP="00CB51C2">
      <w:pPr>
        <w:pStyle w:val="NormalWeb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1096"/>
        <w:tblW w:w="5082" w:type="pct"/>
        <w:tblBorders>
          <w:top w:val="single" w:sz="4" w:space="0" w:color="B71234"/>
          <w:left w:val="single" w:sz="4" w:space="0" w:color="B71234"/>
          <w:bottom w:val="single" w:sz="4" w:space="0" w:color="B71234"/>
          <w:right w:val="single" w:sz="4" w:space="0" w:color="B71234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21"/>
        <w:gridCol w:w="6712"/>
      </w:tblGrid>
      <w:tr w:rsidR="00E72BD2" w:rsidTr="00C30788">
        <w:trPr>
          <w:trHeight w:val="7006"/>
        </w:trPr>
        <w:tc>
          <w:tcPr>
            <w:tcW w:w="1404" w:type="pct"/>
            <w:shd w:val="clear" w:color="auto" w:fill="B71234"/>
          </w:tcPr>
          <w:p w:rsidR="00E72BD2" w:rsidRDefault="00E72BD2" w:rsidP="00EC2314">
            <w:pPr>
              <w:pStyle w:val="Header"/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US"/>
              </w:rPr>
              <w:t>Telford &amp; Wrekin Council</w:t>
            </w:r>
          </w:p>
          <w:p w:rsidR="00E72BD2" w:rsidRPr="00302846" w:rsidRDefault="00E72BD2" w:rsidP="00E72BD2">
            <w:pPr>
              <w:pStyle w:val="Header"/>
              <w:jc w:val="right"/>
              <w:rPr>
                <w:rFonts w:ascii="Arial" w:hAnsi="Arial" w:cs="Arial"/>
                <w:color w:val="FFFFFF" w:themeColor="background1"/>
              </w:rPr>
            </w:pPr>
            <w:r w:rsidRPr="0071257C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96" w:type="pct"/>
            <w:vAlign w:val="bottom"/>
          </w:tcPr>
          <w:p w:rsidR="00E72BD2" w:rsidRPr="00E72BD2" w:rsidRDefault="00E72BD2" w:rsidP="00E72BD2">
            <w:pPr>
              <w:pStyle w:val="NormalWeb"/>
              <w:rPr>
                <w:rFonts w:ascii="Arial" w:hAnsi="Arial" w:cs="Arial"/>
                <w:b/>
                <w:color w:val="C00000"/>
              </w:rPr>
            </w:pPr>
            <w:r w:rsidRPr="00E72BD2">
              <w:rPr>
                <w:rFonts w:ascii="Arial" w:hAnsi="Arial" w:cs="Arial"/>
                <w:b/>
                <w:color w:val="C00000"/>
              </w:rPr>
              <w:t>Guidance on Risk Assessment requirements for clinically extremely vulnerable, clinically vulnerable and employees of Black Asian or Minority Ethnic (BAME) Origin</w:t>
            </w:r>
          </w:p>
          <w:p w:rsidR="00E72BD2" w:rsidRDefault="00E72BD2" w:rsidP="00EC2314">
            <w:pPr>
              <w:rPr>
                <w:rFonts w:ascii="Arial" w:hAnsi="Arial" w:cs="Arial"/>
                <w:b/>
                <w:color w:val="B7123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71234"/>
                <w:sz w:val="24"/>
                <w:szCs w:val="24"/>
              </w:rPr>
              <w:t>Originally issue : Monday 1 June 2020</w:t>
            </w:r>
          </w:p>
          <w:p w:rsidR="009E7497" w:rsidRDefault="00E72BD2" w:rsidP="00E72BD2">
            <w:pPr>
              <w:rPr>
                <w:rFonts w:ascii="Arial" w:hAnsi="Arial" w:cs="Arial"/>
                <w:b/>
                <w:color w:val="B7123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71234"/>
                <w:sz w:val="24"/>
                <w:szCs w:val="24"/>
              </w:rPr>
              <w:t xml:space="preserve">Updated: </w:t>
            </w:r>
          </w:p>
          <w:p w:rsidR="009E7497" w:rsidRDefault="00E72BD2" w:rsidP="00E72BD2">
            <w:pPr>
              <w:rPr>
                <w:rFonts w:ascii="Arial" w:hAnsi="Arial" w:cs="Arial"/>
                <w:b/>
                <w:color w:val="B7123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71234"/>
                <w:sz w:val="24"/>
                <w:szCs w:val="24"/>
              </w:rPr>
              <w:t xml:space="preserve">Friday 12 June 2020 </w:t>
            </w:r>
          </w:p>
          <w:p w:rsidR="00E72BD2" w:rsidRDefault="009E7497" w:rsidP="00E72BD2">
            <w:pPr>
              <w:rPr>
                <w:rFonts w:ascii="Arial" w:hAnsi="Arial" w:cs="Arial"/>
                <w:b/>
                <w:color w:val="B7123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71234"/>
                <w:sz w:val="24"/>
                <w:szCs w:val="24"/>
              </w:rPr>
              <w:t xml:space="preserve">Thursday 2 July 2020 </w:t>
            </w:r>
          </w:p>
          <w:p w:rsidR="00310295" w:rsidRDefault="001C066F" w:rsidP="00E72BD2">
            <w:pPr>
              <w:rPr>
                <w:rFonts w:ascii="Arial" w:hAnsi="Arial" w:cs="Arial"/>
                <w:b/>
                <w:color w:val="B7123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71234"/>
                <w:sz w:val="24"/>
                <w:szCs w:val="24"/>
              </w:rPr>
              <w:t xml:space="preserve">Thursday 16 July 2020 </w:t>
            </w:r>
          </w:p>
          <w:p w:rsidR="001C066F" w:rsidRDefault="00310295" w:rsidP="00310295">
            <w:pPr>
              <w:rPr>
                <w:rFonts w:ascii="Arial" w:hAnsi="Arial" w:cs="Arial"/>
                <w:b/>
                <w:color w:val="B7123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71234"/>
                <w:sz w:val="24"/>
                <w:szCs w:val="24"/>
              </w:rPr>
              <w:t>Tuesday 3 November 2020  Updated to Reflect Lockdown</w:t>
            </w:r>
            <w:r w:rsidR="00CE7181">
              <w:rPr>
                <w:rFonts w:ascii="Arial" w:hAnsi="Arial" w:cs="Arial"/>
                <w:b/>
                <w:color w:val="B71234"/>
                <w:sz w:val="24"/>
                <w:szCs w:val="24"/>
              </w:rPr>
              <w:t>/tighter national restrictions</w:t>
            </w:r>
            <w:r>
              <w:rPr>
                <w:rFonts w:ascii="Arial" w:hAnsi="Arial" w:cs="Arial"/>
                <w:b/>
                <w:color w:val="B71234"/>
                <w:sz w:val="24"/>
                <w:szCs w:val="24"/>
              </w:rPr>
              <w:t xml:space="preserve"> from 5 November 2020 </w:t>
            </w:r>
          </w:p>
          <w:p w:rsidR="00407539" w:rsidRDefault="00407539" w:rsidP="00310295">
            <w:pPr>
              <w:rPr>
                <w:rFonts w:ascii="Arial" w:hAnsi="Arial" w:cs="Arial"/>
                <w:b/>
                <w:color w:val="B7123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71234"/>
                <w:sz w:val="24"/>
                <w:szCs w:val="24"/>
              </w:rPr>
              <w:t>Thursday 26 November 2020 – updated to reflect moving out of lockdown</w:t>
            </w:r>
            <w:r w:rsidR="00CE7181">
              <w:rPr>
                <w:rFonts w:ascii="Arial" w:hAnsi="Arial" w:cs="Arial"/>
                <w:b/>
                <w:color w:val="B71234"/>
                <w:sz w:val="24"/>
                <w:szCs w:val="24"/>
              </w:rPr>
              <w:t xml:space="preserve">/tighter national restrictions </w:t>
            </w:r>
            <w:r>
              <w:rPr>
                <w:rFonts w:ascii="Arial" w:hAnsi="Arial" w:cs="Arial"/>
                <w:b/>
                <w:color w:val="B71234"/>
                <w:sz w:val="24"/>
                <w:szCs w:val="24"/>
              </w:rPr>
              <w:t xml:space="preserve"> from the 2 December 2020</w:t>
            </w:r>
            <w:r w:rsidR="00CE7181">
              <w:rPr>
                <w:rFonts w:ascii="Arial" w:hAnsi="Arial" w:cs="Arial"/>
                <w:b/>
                <w:color w:val="B71234"/>
                <w:sz w:val="24"/>
                <w:szCs w:val="24"/>
              </w:rPr>
              <w:t xml:space="preserve"> (Any updates are highlighted in Yellow)</w:t>
            </w:r>
          </w:p>
          <w:p w:rsidR="00C30788" w:rsidRDefault="00C30788" w:rsidP="00C30788">
            <w:pPr>
              <w:rPr>
                <w:rFonts w:ascii="Arial" w:hAnsi="Arial" w:cs="Arial"/>
                <w:b/>
                <w:color w:val="B7123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71234"/>
                <w:sz w:val="24"/>
                <w:szCs w:val="24"/>
              </w:rPr>
              <w:t>Wednesday 2 December 2020 – updated re those over 28 weeks pregnant from the 2 December 2020</w:t>
            </w:r>
          </w:p>
          <w:p w:rsidR="00465ED0" w:rsidRDefault="00465ED0" w:rsidP="00C30788">
            <w:pPr>
              <w:rPr>
                <w:rFonts w:ascii="Arial" w:hAnsi="Arial" w:cs="Arial"/>
                <w:b/>
                <w:color w:val="B7123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71234"/>
                <w:sz w:val="24"/>
                <w:szCs w:val="24"/>
              </w:rPr>
              <w:t xml:space="preserve">Tuesday 5 January 2021 – updated to reflect the Tier 4 National Lockdown from the 5 January 2021. </w:t>
            </w:r>
            <w:r w:rsidRPr="00465ED0">
              <w:rPr>
                <w:rFonts w:ascii="Arial" w:hAnsi="Arial" w:cs="Arial"/>
                <w:b/>
                <w:color w:val="B71234"/>
                <w:sz w:val="24"/>
                <w:szCs w:val="24"/>
              </w:rPr>
              <w:t>(Any updates are highlighted in Yellow)</w:t>
            </w:r>
          </w:p>
          <w:p w:rsidR="00C30788" w:rsidRPr="00F07536" w:rsidRDefault="00C30788" w:rsidP="003102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2BD2" w:rsidRDefault="00E72BD2" w:rsidP="00E72BD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document sets out the specific arrangements for those staff who are at a potentially higher risk should they contract Covid-19, along with the requirement to undertake an individual risk assessments where a return to working in school is being considered. </w:t>
      </w:r>
    </w:p>
    <w:p w:rsidR="00E72BD2" w:rsidRDefault="00E72BD2" w:rsidP="00E72BD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higher risk groups are set out below along with the Local Authority advice on working arrangements and pay for these staff. </w:t>
      </w:r>
    </w:p>
    <w:p w:rsidR="00310295" w:rsidRDefault="00310295" w:rsidP="00310295">
      <w:pPr>
        <w:rPr>
          <w:rFonts w:ascii="Arial" w:hAnsi="Arial" w:cs="Arial"/>
          <w:b/>
          <w:bCs/>
          <w:color w:val="000000"/>
        </w:rPr>
      </w:pPr>
      <w:r w:rsidRPr="00465ED0">
        <w:rPr>
          <w:rFonts w:ascii="Arial" w:hAnsi="Arial" w:cs="Arial"/>
          <w:b/>
          <w:bCs/>
          <w:color w:val="000000"/>
          <w:highlight w:val="yellow"/>
        </w:rPr>
        <w:t>1. Employees in the clinically extremely vulnerable (CEV) category</w:t>
      </w:r>
    </w:p>
    <w:p w:rsidR="00407539" w:rsidRDefault="00407539" w:rsidP="0040753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lang w:val="en" w:eastAsia="en-GB"/>
        </w:rPr>
      </w:pPr>
      <w:r w:rsidRPr="00377E75">
        <w:rPr>
          <w:rFonts w:ascii="Arial" w:eastAsia="Times New Roman" w:hAnsi="Arial" w:cs="Arial"/>
          <w:lang w:val="en" w:eastAsia="en-GB"/>
        </w:rPr>
        <w:t>Staff in th</w:t>
      </w:r>
      <w:r>
        <w:rPr>
          <w:rFonts w:ascii="Arial" w:eastAsia="Times New Roman" w:hAnsi="Arial" w:cs="Arial"/>
          <w:lang w:val="en" w:eastAsia="en-GB"/>
        </w:rPr>
        <w:t>is category are those that received a letter advising them to be more careful and were advised to work from home during the</w:t>
      </w:r>
      <w:r w:rsidR="0055530D">
        <w:rPr>
          <w:rFonts w:ascii="Arial" w:eastAsia="Times New Roman" w:hAnsi="Arial" w:cs="Arial"/>
          <w:lang w:val="en" w:eastAsia="en-GB"/>
        </w:rPr>
        <w:t xml:space="preserve"> previous periods of national lockdown, they should now also receive a letter for the current period of Tier 4 Lockdown from the 5 January 2021.</w:t>
      </w:r>
    </w:p>
    <w:p w:rsidR="0055530D" w:rsidRPr="0055530D" w:rsidRDefault="0055530D" w:rsidP="0055530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These employees should not attend work and be supported to work from home where possible from the 5 January 2021.</w:t>
      </w:r>
    </w:p>
    <w:p w:rsidR="0094366D" w:rsidRDefault="0055530D" w:rsidP="0055530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lang w:val="en" w:eastAsia="en-GB"/>
        </w:rPr>
      </w:pPr>
      <w:r w:rsidRPr="0055530D">
        <w:rPr>
          <w:rFonts w:ascii="Arial" w:eastAsia="Times New Roman" w:hAnsi="Arial" w:cs="Arial"/>
          <w:lang w:val="en" w:eastAsia="en-GB"/>
        </w:rPr>
        <w:t xml:space="preserve">If they cannot work effectively from home they should be placed on a period of </w:t>
      </w:r>
      <w:r w:rsidR="0094366D">
        <w:rPr>
          <w:rFonts w:ascii="Arial" w:eastAsia="Times New Roman" w:hAnsi="Arial" w:cs="Arial"/>
          <w:lang w:val="en" w:eastAsia="en-GB"/>
        </w:rPr>
        <w:t xml:space="preserve">paid </w:t>
      </w:r>
      <w:r w:rsidRPr="0055530D">
        <w:rPr>
          <w:rFonts w:ascii="Arial" w:eastAsia="Times New Roman" w:hAnsi="Arial" w:cs="Arial"/>
          <w:lang w:val="en" w:eastAsia="en-GB"/>
        </w:rPr>
        <w:t xml:space="preserve">special leave. </w:t>
      </w:r>
    </w:p>
    <w:p w:rsidR="0055530D" w:rsidRDefault="0055530D" w:rsidP="0055530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lang w:val="en" w:eastAsia="en-GB"/>
        </w:rPr>
      </w:pPr>
      <w:r w:rsidRPr="0055530D">
        <w:rPr>
          <w:rFonts w:ascii="Arial" w:eastAsia="Times New Roman" w:hAnsi="Arial" w:cs="Arial"/>
          <w:lang w:val="en" w:eastAsia="en-GB"/>
        </w:rPr>
        <w:lastRenderedPageBreak/>
        <w:t>For those of you using the MyView system this special leave should be recorded as (Paid Leave) COVID -19 – Self –Extremely Vulnerable. This should be recorded from the 5</w:t>
      </w:r>
      <w:r>
        <w:rPr>
          <w:rFonts w:ascii="Arial" w:eastAsia="Times New Roman" w:hAnsi="Arial" w:cs="Arial"/>
          <w:lang w:val="en" w:eastAsia="en-GB"/>
        </w:rPr>
        <w:t xml:space="preserve"> January 2021 until the date specified on their letter in the first instance.</w:t>
      </w:r>
    </w:p>
    <w:p w:rsidR="00310295" w:rsidRDefault="00310295" w:rsidP="00310295">
      <w:pPr>
        <w:rPr>
          <w:rFonts w:ascii="Arial" w:hAnsi="Arial" w:cs="Arial"/>
          <w:color w:val="000000"/>
        </w:rPr>
      </w:pPr>
      <w:r w:rsidRPr="00C30788">
        <w:rPr>
          <w:rFonts w:ascii="Arial" w:hAnsi="Arial" w:cs="Arial"/>
          <w:b/>
          <w:bCs/>
          <w:color w:val="000000"/>
        </w:rPr>
        <w:t>2. Employees in the clinically vulnerable (CV) category</w:t>
      </w:r>
      <w:r>
        <w:rPr>
          <w:rFonts w:ascii="Arial" w:hAnsi="Arial" w:cs="Arial"/>
          <w:color w:val="000000"/>
        </w:rPr>
        <w:t xml:space="preserve"> </w:t>
      </w:r>
    </w:p>
    <w:p w:rsidR="00310295" w:rsidRDefault="00310295" w:rsidP="00310295">
      <w:pPr>
        <w:shd w:val="clear" w:color="auto" w:fill="FFFFFF"/>
        <w:spacing w:before="300" w:after="300"/>
        <w:rPr>
          <w:rFonts w:ascii="Arial" w:hAnsi="Arial" w:cs="Arial"/>
          <w:color w:val="0B0C0C"/>
          <w:lang w:eastAsia="en-GB"/>
        </w:rPr>
      </w:pPr>
      <w:r>
        <w:rPr>
          <w:rFonts w:ascii="Arial" w:hAnsi="Arial" w:cs="Arial"/>
          <w:color w:val="0B0C0C"/>
          <w:lang w:eastAsia="en-GB"/>
        </w:rPr>
        <w:t>Clinically vulnerable people are those who are:</w:t>
      </w:r>
    </w:p>
    <w:p w:rsidR="00310295" w:rsidRDefault="00310295" w:rsidP="00310295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Arial" w:hAnsi="Arial" w:cs="Arial"/>
          <w:color w:val="0B0C0C"/>
          <w:lang w:eastAsia="en-GB"/>
        </w:rPr>
      </w:pPr>
      <w:r>
        <w:rPr>
          <w:rFonts w:ascii="Arial" w:hAnsi="Arial" w:cs="Arial"/>
          <w:color w:val="0B0C0C"/>
          <w:lang w:eastAsia="en-GB"/>
        </w:rPr>
        <w:t>aged 70 or over (regardless of medical conditions)</w:t>
      </w:r>
    </w:p>
    <w:p w:rsidR="00310295" w:rsidRDefault="00310295" w:rsidP="0031029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B0C0C"/>
          <w:lang w:eastAsia="en-GB"/>
        </w:rPr>
      </w:pPr>
      <w:r>
        <w:rPr>
          <w:rFonts w:ascii="Arial" w:hAnsi="Arial" w:cs="Arial"/>
          <w:color w:val="0B0C0C"/>
          <w:lang w:eastAsia="en-GB"/>
        </w:rPr>
        <w:t>under 70 with an underlying health condition listed below (that is, anyone instructed to get a flu jab each year on medical grounds):</w:t>
      </w:r>
    </w:p>
    <w:p w:rsidR="00310295" w:rsidRDefault="00310295" w:rsidP="00310295">
      <w:pPr>
        <w:numPr>
          <w:ilvl w:val="1"/>
          <w:numId w:val="7"/>
        </w:numPr>
        <w:shd w:val="clear" w:color="auto" w:fill="FFFFFF"/>
        <w:spacing w:after="75" w:line="240" w:lineRule="auto"/>
        <w:ind w:left="600"/>
        <w:rPr>
          <w:rFonts w:ascii="Arial" w:hAnsi="Arial" w:cs="Arial"/>
          <w:color w:val="0B0C0C"/>
          <w:lang w:eastAsia="en-GB"/>
        </w:rPr>
      </w:pPr>
      <w:r>
        <w:rPr>
          <w:rFonts w:ascii="Arial" w:hAnsi="Arial" w:cs="Arial"/>
          <w:color w:val="0B0C0C"/>
          <w:lang w:eastAsia="en-GB"/>
        </w:rPr>
        <w:t>chronic (long-term) mild to moderate respiratory diseases, such as asthma, chronic obstructive pulmonary disease (COPD), emphysema or bronchitis</w:t>
      </w:r>
    </w:p>
    <w:p w:rsidR="00310295" w:rsidRDefault="00310295" w:rsidP="00310295">
      <w:pPr>
        <w:numPr>
          <w:ilvl w:val="1"/>
          <w:numId w:val="7"/>
        </w:numPr>
        <w:shd w:val="clear" w:color="auto" w:fill="FFFFFF"/>
        <w:spacing w:after="75" w:line="240" w:lineRule="auto"/>
        <w:ind w:left="600"/>
        <w:rPr>
          <w:rFonts w:ascii="Arial" w:hAnsi="Arial" w:cs="Arial"/>
          <w:color w:val="0B0C0C"/>
          <w:lang w:eastAsia="en-GB"/>
        </w:rPr>
      </w:pPr>
      <w:r>
        <w:rPr>
          <w:rFonts w:ascii="Arial" w:hAnsi="Arial" w:cs="Arial"/>
          <w:color w:val="0B0C0C"/>
          <w:lang w:eastAsia="en-GB"/>
        </w:rPr>
        <w:t>chronic heart disease, such as heart failure</w:t>
      </w:r>
    </w:p>
    <w:p w:rsidR="00310295" w:rsidRDefault="00310295" w:rsidP="00310295">
      <w:pPr>
        <w:numPr>
          <w:ilvl w:val="1"/>
          <w:numId w:val="7"/>
        </w:numPr>
        <w:shd w:val="clear" w:color="auto" w:fill="FFFFFF"/>
        <w:spacing w:after="75" w:line="240" w:lineRule="auto"/>
        <w:ind w:left="600"/>
        <w:rPr>
          <w:rFonts w:ascii="Arial" w:hAnsi="Arial" w:cs="Arial"/>
          <w:color w:val="0B0C0C"/>
          <w:lang w:eastAsia="en-GB"/>
        </w:rPr>
      </w:pPr>
      <w:r>
        <w:rPr>
          <w:rFonts w:ascii="Arial" w:hAnsi="Arial" w:cs="Arial"/>
          <w:color w:val="0B0C0C"/>
          <w:lang w:eastAsia="en-GB"/>
        </w:rPr>
        <w:t>chronic kidney disease</w:t>
      </w:r>
    </w:p>
    <w:p w:rsidR="00310295" w:rsidRDefault="00310295" w:rsidP="00310295">
      <w:pPr>
        <w:numPr>
          <w:ilvl w:val="1"/>
          <w:numId w:val="7"/>
        </w:numPr>
        <w:shd w:val="clear" w:color="auto" w:fill="FFFFFF"/>
        <w:spacing w:after="75" w:line="240" w:lineRule="auto"/>
        <w:ind w:left="600"/>
        <w:rPr>
          <w:rFonts w:ascii="Arial" w:hAnsi="Arial" w:cs="Arial"/>
          <w:color w:val="0B0C0C"/>
          <w:lang w:eastAsia="en-GB"/>
        </w:rPr>
      </w:pPr>
      <w:r>
        <w:rPr>
          <w:rFonts w:ascii="Arial" w:hAnsi="Arial" w:cs="Arial"/>
          <w:color w:val="0B0C0C"/>
          <w:lang w:eastAsia="en-GB"/>
        </w:rPr>
        <w:t>chronic liver disease, such as hepatitis</w:t>
      </w:r>
    </w:p>
    <w:p w:rsidR="00310295" w:rsidRDefault="00310295" w:rsidP="00310295">
      <w:pPr>
        <w:numPr>
          <w:ilvl w:val="1"/>
          <w:numId w:val="7"/>
        </w:numPr>
        <w:shd w:val="clear" w:color="auto" w:fill="FFFFFF"/>
        <w:spacing w:after="75" w:line="240" w:lineRule="auto"/>
        <w:ind w:left="600"/>
        <w:rPr>
          <w:rFonts w:ascii="Arial" w:hAnsi="Arial" w:cs="Arial"/>
          <w:color w:val="0B0C0C"/>
          <w:lang w:eastAsia="en-GB"/>
        </w:rPr>
      </w:pPr>
      <w:r>
        <w:rPr>
          <w:rFonts w:ascii="Arial" w:hAnsi="Arial" w:cs="Arial"/>
          <w:color w:val="0B0C0C"/>
          <w:lang w:eastAsia="en-GB"/>
        </w:rPr>
        <w:t>chronic neurological conditions, such as Parkinson’s disease, motor neurone disease, multiple sclerosis (MS) or cerebral palsy</w:t>
      </w:r>
    </w:p>
    <w:p w:rsidR="00310295" w:rsidRDefault="00310295" w:rsidP="00310295">
      <w:pPr>
        <w:numPr>
          <w:ilvl w:val="1"/>
          <w:numId w:val="7"/>
        </w:numPr>
        <w:shd w:val="clear" w:color="auto" w:fill="FFFFFF"/>
        <w:spacing w:after="75" w:line="240" w:lineRule="auto"/>
        <w:ind w:left="600"/>
        <w:rPr>
          <w:rFonts w:ascii="Arial" w:hAnsi="Arial" w:cs="Arial"/>
          <w:color w:val="0B0C0C"/>
          <w:lang w:eastAsia="en-GB"/>
        </w:rPr>
      </w:pPr>
      <w:r>
        <w:rPr>
          <w:rFonts w:ascii="Arial" w:hAnsi="Arial" w:cs="Arial"/>
          <w:color w:val="0B0C0C"/>
          <w:lang w:eastAsia="en-GB"/>
        </w:rPr>
        <w:t>diabetes</w:t>
      </w:r>
    </w:p>
    <w:p w:rsidR="00310295" w:rsidRDefault="00310295" w:rsidP="00310295">
      <w:pPr>
        <w:numPr>
          <w:ilvl w:val="1"/>
          <w:numId w:val="7"/>
        </w:numPr>
        <w:shd w:val="clear" w:color="auto" w:fill="FFFFFF"/>
        <w:spacing w:after="75" w:line="240" w:lineRule="auto"/>
        <w:ind w:left="600"/>
        <w:rPr>
          <w:rFonts w:ascii="Arial" w:hAnsi="Arial" w:cs="Arial"/>
          <w:color w:val="0B0C0C"/>
          <w:lang w:eastAsia="en-GB"/>
        </w:rPr>
      </w:pPr>
      <w:r>
        <w:rPr>
          <w:rFonts w:ascii="Arial" w:hAnsi="Arial" w:cs="Arial"/>
          <w:color w:val="0B0C0C"/>
          <w:lang w:eastAsia="en-GB"/>
        </w:rPr>
        <w:t>a weakened immune system as the result of certain conditions or medicines they are taking (such as steroid tablets)</w:t>
      </w:r>
    </w:p>
    <w:p w:rsidR="00310295" w:rsidRDefault="00310295" w:rsidP="00310295">
      <w:pPr>
        <w:numPr>
          <w:ilvl w:val="1"/>
          <w:numId w:val="7"/>
        </w:numPr>
        <w:shd w:val="clear" w:color="auto" w:fill="FFFFFF"/>
        <w:spacing w:after="75" w:line="240" w:lineRule="auto"/>
        <w:ind w:left="600"/>
        <w:rPr>
          <w:rFonts w:ascii="Arial" w:hAnsi="Arial" w:cs="Arial"/>
          <w:color w:val="0B0C0C"/>
          <w:lang w:eastAsia="en-GB"/>
        </w:rPr>
      </w:pPr>
      <w:r>
        <w:rPr>
          <w:rFonts w:ascii="Arial" w:hAnsi="Arial" w:cs="Arial"/>
          <w:color w:val="0B0C0C"/>
          <w:lang w:eastAsia="en-GB"/>
        </w:rPr>
        <w:t>being seriously overweight (a body mass index (BMI) of 40 or above)</w:t>
      </w:r>
    </w:p>
    <w:p w:rsidR="00310295" w:rsidRDefault="00310295" w:rsidP="00310295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Arial" w:hAnsi="Arial" w:cs="Arial"/>
          <w:color w:val="0B0C0C"/>
          <w:lang w:eastAsia="en-GB"/>
        </w:rPr>
      </w:pPr>
      <w:r>
        <w:rPr>
          <w:rFonts w:ascii="Arial" w:hAnsi="Arial" w:cs="Arial"/>
          <w:color w:val="0B0C0C"/>
          <w:lang w:eastAsia="en-GB"/>
        </w:rPr>
        <w:t>pregnant  (see 3 below for further details)</w:t>
      </w:r>
    </w:p>
    <w:p w:rsidR="00310295" w:rsidRDefault="00310295" w:rsidP="00310295">
      <w:pPr>
        <w:rPr>
          <w:rFonts w:ascii="Arial" w:hAnsi="Arial" w:cs="Arial"/>
          <w:color w:val="000000"/>
        </w:rPr>
      </w:pPr>
    </w:p>
    <w:p w:rsidR="00407539" w:rsidRDefault="00310295" w:rsidP="003102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Staff in this category are ab</w:t>
      </w:r>
      <w:r w:rsidR="0055530D">
        <w:rPr>
          <w:rFonts w:ascii="Arial" w:hAnsi="Arial" w:cs="Arial"/>
          <w:color w:val="000000"/>
        </w:rPr>
        <w:t xml:space="preserve">le to remain working in school </w:t>
      </w:r>
      <w:r w:rsidR="0055530D" w:rsidRPr="00465ED0">
        <w:rPr>
          <w:rFonts w:ascii="Arial" w:hAnsi="Arial" w:cs="Arial"/>
          <w:color w:val="000000"/>
          <w:highlight w:val="yellow"/>
        </w:rPr>
        <w:t>to support the provision for Key Worker and Vulnerable children and those in nursery settings,</w:t>
      </w:r>
      <w:r w:rsidR="0055530D">
        <w:rPr>
          <w:rFonts w:ascii="Arial" w:hAnsi="Arial" w:cs="Arial"/>
          <w:color w:val="000000"/>
        </w:rPr>
        <w:t xml:space="preserve"> subject to whole school risk assessment and a review of their previously undertaken</w:t>
      </w:r>
      <w:r w:rsidR="0094366D">
        <w:rPr>
          <w:rFonts w:ascii="Arial" w:hAnsi="Arial" w:cs="Arial"/>
          <w:color w:val="000000"/>
        </w:rPr>
        <w:t xml:space="preserve"> individual risk assessment.</w:t>
      </w:r>
      <w:r>
        <w:rPr>
          <w:rFonts w:ascii="Arial" w:hAnsi="Arial" w:cs="Arial"/>
          <w:color w:val="000000"/>
        </w:rPr>
        <w:t xml:space="preserve">  </w:t>
      </w:r>
    </w:p>
    <w:p w:rsidR="0094366D" w:rsidRDefault="0094366D" w:rsidP="0094366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lang w:val="en" w:eastAsia="en-GB"/>
        </w:rPr>
      </w:pPr>
      <w:r>
        <w:rPr>
          <w:rFonts w:ascii="Arial" w:hAnsi="Arial" w:cs="Arial"/>
          <w:bCs/>
          <w:color w:val="000000"/>
        </w:rPr>
        <w:t xml:space="preserve">The </w:t>
      </w:r>
      <w:r w:rsidRPr="00CE7181">
        <w:rPr>
          <w:rFonts w:ascii="Arial" w:hAnsi="Arial" w:cs="Arial"/>
          <w:bCs/>
          <w:color w:val="000000"/>
        </w:rPr>
        <w:t>individual</w:t>
      </w:r>
      <w:r w:rsidR="00310295" w:rsidRPr="00CE7181">
        <w:rPr>
          <w:rFonts w:ascii="Arial" w:hAnsi="Arial" w:cs="Arial"/>
          <w:bCs/>
          <w:color w:val="000000"/>
        </w:rPr>
        <w:t xml:space="preserve"> risk assessment</w:t>
      </w:r>
      <w:r>
        <w:rPr>
          <w:rFonts w:ascii="Arial" w:hAnsi="Arial" w:cs="Arial"/>
          <w:bCs/>
          <w:color w:val="000000"/>
        </w:rPr>
        <w:t xml:space="preserve"> </w:t>
      </w:r>
      <w:r w:rsidR="00C30788">
        <w:rPr>
          <w:rFonts w:ascii="Arial" w:eastAsia="Times New Roman" w:hAnsi="Arial" w:cs="Arial"/>
          <w:lang w:val="en" w:eastAsia="en-GB"/>
        </w:rPr>
        <w:t xml:space="preserve">should </w:t>
      </w:r>
      <w:r>
        <w:rPr>
          <w:rFonts w:ascii="Arial" w:eastAsia="Times New Roman" w:hAnsi="Arial" w:cs="Arial"/>
          <w:lang w:val="en" w:eastAsia="en-GB"/>
        </w:rPr>
        <w:t>continue to be kept under review.</w:t>
      </w:r>
    </w:p>
    <w:p w:rsidR="00310295" w:rsidRPr="0094366D" w:rsidRDefault="0094366D" w:rsidP="0094366D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color w:val="000000"/>
        </w:rPr>
      </w:pPr>
      <w:r w:rsidRPr="0094366D">
        <w:rPr>
          <w:rFonts w:ascii="Arial" w:eastAsia="Times New Roman" w:hAnsi="Arial" w:cs="Arial"/>
          <w:b/>
          <w:lang w:val="en" w:eastAsia="en-GB"/>
        </w:rPr>
        <w:t>3.</w:t>
      </w:r>
      <w:r w:rsidR="00310295" w:rsidRPr="0094366D">
        <w:rPr>
          <w:rFonts w:ascii="Arial" w:hAnsi="Arial" w:cs="Arial"/>
          <w:b/>
          <w:bCs/>
          <w:color w:val="000000"/>
          <w:highlight w:val="yellow"/>
        </w:rPr>
        <w:t xml:space="preserve"> Pregnant employees</w:t>
      </w:r>
      <w:r w:rsidR="00310295" w:rsidRPr="0094366D">
        <w:rPr>
          <w:rFonts w:ascii="Arial" w:hAnsi="Arial" w:cs="Arial"/>
          <w:b/>
          <w:color w:val="000000"/>
        </w:rPr>
        <w:t xml:space="preserve"> </w:t>
      </w:r>
    </w:p>
    <w:p w:rsidR="00C30788" w:rsidRPr="00CE7181" w:rsidRDefault="00310295" w:rsidP="00C3078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lang w:val="en" w:eastAsia="en-GB"/>
        </w:rPr>
      </w:pPr>
      <w:r>
        <w:rPr>
          <w:rFonts w:ascii="Arial" w:hAnsi="Arial" w:cs="Arial"/>
          <w:color w:val="000000"/>
        </w:rPr>
        <w:t>A</w:t>
      </w:r>
      <w:r w:rsidR="00C30788">
        <w:rPr>
          <w:rFonts w:ascii="Arial" w:hAnsi="Arial" w:cs="Arial"/>
          <w:color w:val="000000"/>
        </w:rPr>
        <w:t xml:space="preserve">n individual Covid </w:t>
      </w:r>
      <w:r>
        <w:rPr>
          <w:rFonts w:ascii="Arial" w:hAnsi="Arial" w:cs="Arial"/>
          <w:color w:val="000000"/>
        </w:rPr>
        <w:t>risk assessment</w:t>
      </w:r>
      <w:r w:rsidR="00C30788">
        <w:rPr>
          <w:rFonts w:ascii="Arial" w:hAnsi="Arial" w:cs="Arial"/>
          <w:color w:val="000000"/>
        </w:rPr>
        <w:t xml:space="preserve"> as well as a pregnancy risk assessment</w:t>
      </w:r>
      <w:r>
        <w:rPr>
          <w:rFonts w:ascii="Arial" w:hAnsi="Arial" w:cs="Arial"/>
          <w:color w:val="000000"/>
        </w:rPr>
        <w:t xml:space="preserve"> is required if the employee is working, whether at home or outside of their home.  </w:t>
      </w:r>
      <w:r w:rsidR="00C30788">
        <w:rPr>
          <w:rFonts w:ascii="Arial" w:hAnsi="Arial" w:cs="Arial"/>
          <w:color w:val="000000"/>
        </w:rPr>
        <w:t>T</w:t>
      </w:r>
      <w:r w:rsidR="00C30788">
        <w:rPr>
          <w:rFonts w:ascii="Arial" w:eastAsia="Times New Roman" w:hAnsi="Arial" w:cs="Arial"/>
          <w:lang w:val="en" w:eastAsia="en-GB"/>
        </w:rPr>
        <w:t xml:space="preserve">he Individual Covid risk assessment should be reviewed </w:t>
      </w:r>
      <w:r w:rsidR="00C30788" w:rsidRPr="00CE7181">
        <w:rPr>
          <w:rFonts w:ascii="Arial" w:eastAsia="Times New Roman" w:hAnsi="Arial" w:cs="Arial"/>
          <w:lang w:val="en" w:eastAsia="en-GB"/>
        </w:rPr>
        <w:t>particularly where infection rates increase locally, there is an outbreak in your setting or we move into a higher tier.</w:t>
      </w:r>
    </w:p>
    <w:p w:rsidR="00310295" w:rsidRDefault="00310295" w:rsidP="00310295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Useful information re pregnancy during coronavirus is available here </w:t>
      </w:r>
      <w:hyperlink r:id="rId7" w:anchor="occupational" w:history="1">
        <w:r>
          <w:rPr>
            <w:rStyle w:val="Hyperlink"/>
            <w:rFonts w:ascii="Arial" w:hAnsi="Arial" w:cs="Arial"/>
          </w:rPr>
          <w:t>https://www.rcog.org.uk/en/guidelines-research-services/guidelines/coronavirus-pregnancy/covid-19-virus-infection-and-pregnancy#occupational</w:t>
        </w:r>
      </w:hyperlink>
      <w:r>
        <w:rPr>
          <w:rFonts w:ascii="Arial" w:hAnsi="Arial" w:cs="Arial"/>
          <w:color w:val="000000"/>
        </w:rPr>
        <w:t xml:space="preserve"> </w:t>
      </w:r>
    </w:p>
    <w:p w:rsidR="00310295" w:rsidRDefault="00310295" w:rsidP="00310295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a) Pregnant employees who are under 28 weeks pregnant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</w:p>
    <w:p w:rsidR="00310295" w:rsidRDefault="00310295" w:rsidP="003102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employees can continue to work in school</w:t>
      </w:r>
      <w:r w:rsidR="0094366D">
        <w:rPr>
          <w:rFonts w:ascii="Arial" w:hAnsi="Arial" w:cs="Arial"/>
          <w:color w:val="000000"/>
        </w:rPr>
        <w:t xml:space="preserve"> to support </w:t>
      </w:r>
      <w:r w:rsidR="0094366D" w:rsidRPr="00465ED0">
        <w:rPr>
          <w:rFonts w:ascii="Arial" w:hAnsi="Arial" w:cs="Arial"/>
          <w:color w:val="000000"/>
          <w:highlight w:val="yellow"/>
        </w:rPr>
        <w:t>the provision for Key Worker and Vulnerable children and those in nursery settings,</w:t>
      </w:r>
      <w:r w:rsidR="0094366D">
        <w:rPr>
          <w:rFonts w:ascii="Arial" w:hAnsi="Arial" w:cs="Arial"/>
          <w:color w:val="000000"/>
        </w:rPr>
        <w:t xml:space="preserve"> subject to whole school risk assessment and a review of their previously undertaken individual risk </w:t>
      </w:r>
      <w:r w:rsidR="0094366D">
        <w:rPr>
          <w:rFonts w:ascii="Arial" w:hAnsi="Arial" w:cs="Arial"/>
          <w:color w:val="000000"/>
        </w:rPr>
        <w:t>a</w:t>
      </w:r>
      <w:r w:rsidR="0094366D">
        <w:rPr>
          <w:rFonts w:ascii="Arial" w:hAnsi="Arial" w:cs="Arial"/>
          <w:color w:val="000000"/>
        </w:rPr>
        <w:t>ssessment</w:t>
      </w:r>
      <w:r w:rsidR="0094366D">
        <w:rPr>
          <w:rFonts w:ascii="Arial" w:hAnsi="Arial" w:cs="Arial"/>
          <w:color w:val="000000"/>
        </w:rPr>
        <w:t>s, unless they also fall into the CEV category or they are in their 3</w:t>
      </w:r>
      <w:r w:rsidR="0094366D" w:rsidRPr="0094366D">
        <w:rPr>
          <w:rFonts w:ascii="Arial" w:hAnsi="Arial" w:cs="Arial"/>
          <w:color w:val="000000"/>
          <w:vertAlign w:val="superscript"/>
        </w:rPr>
        <w:t>rd</w:t>
      </w:r>
      <w:r w:rsidR="0094366D">
        <w:rPr>
          <w:rFonts w:ascii="Arial" w:hAnsi="Arial" w:cs="Arial"/>
          <w:color w:val="000000"/>
        </w:rPr>
        <w:t xml:space="preserve"> Trimester (28 weeks plus)</w:t>
      </w:r>
      <w:r>
        <w:rPr>
          <w:rFonts w:ascii="Arial" w:hAnsi="Arial" w:cs="Arial"/>
          <w:color w:val="000000"/>
        </w:rPr>
        <w:t>.</w:t>
      </w:r>
    </w:p>
    <w:p w:rsidR="00CE7181" w:rsidRDefault="00310295" w:rsidP="003102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with CV staff they should have an individual risk</w:t>
      </w:r>
      <w:r w:rsidR="0094366D">
        <w:rPr>
          <w:rFonts w:ascii="Arial" w:hAnsi="Arial" w:cs="Arial"/>
          <w:color w:val="000000"/>
        </w:rPr>
        <w:t xml:space="preserve"> assessments and these</w:t>
      </w:r>
      <w:r w:rsidR="00CE7181">
        <w:rPr>
          <w:rFonts w:ascii="Arial" w:hAnsi="Arial" w:cs="Arial"/>
          <w:color w:val="000000"/>
        </w:rPr>
        <w:t xml:space="preserve"> </w:t>
      </w:r>
      <w:r w:rsidR="00CE7181" w:rsidRPr="00CE7181">
        <w:rPr>
          <w:rFonts w:ascii="Arial" w:hAnsi="Arial" w:cs="Arial"/>
          <w:color w:val="000000"/>
        </w:rPr>
        <w:t>should be kept under regular review, particularly where infection rates increase locally, there is an outbreak in your setting or we move into a higher tier.</w:t>
      </w:r>
      <w:r w:rsidR="00CE7181">
        <w:rPr>
          <w:rFonts w:ascii="Arial" w:hAnsi="Arial" w:cs="Arial"/>
          <w:color w:val="000000"/>
        </w:rPr>
        <w:t xml:space="preserve"> </w:t>
      </w:r>
    </w:p>
    <w:p w:rsidR="00310295" w:rsidRDefault="00310295" w:rsidP="003102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be mindful of those who may have a number of risk factors when undertaking this risk assessment.</w:t>
      </w:r>
    </w:p>
    <w:p w:rsidR="00310295" w:rsidRDefault="00310295" w:rsidP="00310295">
      <w:pPr>
        <w:rPr>
          <w:rFonts w:ascii="Arial" w:hAnsi="Arial" w:cs="Arial"/>
          <w:b/>
          <w:bCs/>
          <w:color w:val="000000"/>
        </w:rPr>
      </w:pPr>
      <w:r w:rsidRPr="00310295">
        <w:rPr>
          <w:rFonts w:ascii="Arial" w:hAnsi="Arial" w:cs="Arial"/>
          <w:b/>
          <w:bCs/>
          <w:color w:val="000000"/>
          <w:highlight w:val="yellow"/>
        </w:rPr>
        <w:t>b) Pregnant employees who are over 28 weeks pregnant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94366D" w:rsidRPr="00410586" w:rsidRDefault="0094366D" w:rsidP="0094366D">
      <w:pPr>
        <w:rPr>
          <w:rFonts w:ascii="Arial" w:hAnsi="Arial" w:cs="Arial"/>
          <w:bCs/>
          <w:color w:val="C00000"/>
        </w:rPr>
      </w:pPr>
      <w:r w:rsidRPr="00410586">
        <w:rPr>
          <w:rFonts w:ascii="Arial" w:hAnsi="Arial" w:cs="Arial"/>
          <w:bCs/>
          <w:color w:val="C00000"/>
        </w:rPr>
        <w:t xml:space="preserve">This is the position of Telford &amp; Wrekin Council and should apply to all Community and Voluntary Controlled Schools as we are the employer. Other schools are able to take their </w:t>
      </w:r>
      <w:r>
        <w:rPr>
          <w:rFonts w:ascii="Arial" w:hAnsi="Arial" w:cs="Arial"/>
          <w:bCs/>
          <w:color w:val="C00000"/>
        </w:rPr>
        <w:t xml:space="preserve">own </w:t>
      </w:r>
      <w:r w:rsidRPr="00410586">
        <w:rPr>
          <w:rFonts w:ascii="Arial" w:hAnsi="Arial" w:cs="Arial"/>
          <w:bCs/>
          <w:color w:val="C00000"/>
        </w:rPr>
        <w:t>position on this taking into account the national advice</w:t>
      </w:r>
      <w:r>
        <w:rPr>
          <w:rFonts w:ascii="Arial" w:hAnsi="Arial" w:cs="Arial"/>
          <w:bCs/>
          <w:color w:val="C00000"/>
        </w:rPr>
        <w:t xml:space="preserve"> (see link above)</w:t>
      </w:r>
      <w:r w:rsidRPr="00410586">
        <w:rPr>
          <w:rFonts w:ascii="Arial" w:hAnsi="Arial" w:cs="Arial"/>
          <w:bCs/>
          <w:color w:val="C00000"/>
        </w:rPr>
        <w:t>.</w:t>
      </w:r>
    </w:p>
    <w:p w:rsidR="0094366D" w:rsidRDefault="0094366D" w:rsidP="0094366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5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January 2021</w:t>
      </w:r>
      <w:r>
        <w:rPr>
          <w:rFonts w:ascii="Arial" w:hAnsi="Arial" w:cs="Arial"/>
          <w:color w:val="000000"/>
        </w:rPr>
        <w:t xml:space="preserve"> these employees should be supported to work from home</w:t>
      </w:r>
      <w:r>
        <w:rPr>
          <w:rFonts w:ascii="Arial" w:hAnsi="Arial" w:cs="Arial"/>
          <w:color w:val="000000"/>
        </w:rPr>
        <w:t xml:space="preserve"> in the same way as those in the CEV category.</w:t>
      </w:r>
    </w:p>
    <w:p w:rsidR="0094366D" w:rsidRDefault="0094366D" w:rsidP="0094366D">
      <w:pPr>
        <w:rPr>
          <w:rFonts w:ascii="Arial" w:hAnsi="Arial" w:cs="Arial"/>
          <w:color w:val="0B0C0C"/>
          <w:shd w:val="clear" w:color="auto" w:fill="FFFFFF"/>
        </w:rPr>
      </w:pPr>
      <w:r>
        <w:rPr>
          <w:rFonts w:ascii="Arial" w:hAnsi="Arial" w:cs="Arial"/>
          <w:color w:val="000000"/>
        </w:rPr>
        <w:t>Should they be unable to work from home</w:t>
      </w:r>
      <w:r>
        <w:rPr>
          <w:rFonts w:ascii="Arial" w:hAnsi="Arial" w:cs="Arial"/>
          <w:color w:val="0B0C0C"/>
          <w:shd w:val="clear" w:color="auto" w:fill="FFFFFF"/>
        </w:rPr>
        <w:t xml:space="preserve"> they should be placed on a period of </w:t>
      </w:r>
      <w:r>
        <w:rPr>
          <w:rFonts w:ascii="Arial" w:hAnsi="Arial" w:cs="Arial"/>
          <w:color w:val="0B0C0C"/>
          <w:shd w:val="clear" w:color="auto" w:fill="FFFFFF"/>
        </w:rPr>
        <w:t xml:space="preserve">paid </w:t>
      </w:r>
      <w:r>
        <w:rPr>
          <w:rFonts w:ascii="Arial" w:hAnsi="Arial" w:cs="Arial"/>
          <w:color w:val="0B0C0C"/>
          <w:shd w:val="clear" w:color="auto" w:fill="FFFFFF"/>
        </w:rPr>
        <w:t>special leave.</w:t>
      </w:r>
    </w:p>
    <w:p w:rsidR="0094366D" w:rsidRDefault="0094366D" w:rsidP="0094366D">
      <w:pPr>
        <w:rPr>
          <w:rFonts w:ascii="Arial" w:hAnsi="Arial" w:cs="Arial"/>
          <w:color w:val="0B0C0C"/>
          <w:shd w:val="clear" w:color="auto" w:fill="FFFFFF"/>
        </w:rPr>
      </w:pPr>
      <w:r>
        <w:rPr>
          <w:rFonts w:ascii="Arial" w:hAnsi="Arial" w:cs="Arial"/>
          <w:color w:val="0B0C0C"/>
          <w:shd w:val="clear" w:color="auto" w:fill="FFFFFF"/>
        </w:rPr>
        <w:t xml:space="preserve">For those of you using the MyView system this special leave should be recorded as (Paid Leave) COVID -19 – Self – Vulnerable (pregnant). This should be recorded from the 5 </w:t>
      </w:r>
      <w:r>
        <w:rPr>
          <w:rFonts w:ascii="Arial" w:hAnsi="Arial" w:cs="Arial"/>
          <w:color w:val="0B0C0C"/>
          <w:shd w:val="clear" w:color="auto" w:fill="FFFFFF"/>
        </w:rPr>
        <w:t xml:space="preserve">January 2021 up to the 12 February 2021 in </w:t>
      </w:r>
      <w:r>
        <w:rPr>
          <w:rFonts w:ascii="Arial" w:hAnsi="Arial" w:cs="Arial"/>
          <w:color w:val="0B0C0C"/>
          <w:shd w:val="clear" w:color="auto" w:fill="FFFFFF"/>
        </w:rPr>
        <w:t xml:space="preserve">the first instance or up to the start of maternity leave (whichever is the sooner). </w:t>
      </w:r>
    </w:p>
    <w:p w:rsidR="00310295" w:rsidRDefault="00310295" w:rsidP="00310295">
      <w:pPr>
        <w:rPr>
          <w:rFonts w:ascii="Arial" w:hAnsi="Arial" w:cs="Arial"/>
          <w:color w:val="000000"/>
        </w:rPr>
      </w:pPr>
      <w:r w:rsidRPr="00C30788">
        <w:rPr>
          <w:rFonts w:ascii="Arial" w:hAnsi="Arial" w:cs="Arial"/>
          <w:b/>
          <w:bCs/>
          <w:color w:val="000000"/>
        </w:rPr>
        <w:t>4. Employees who are over the age of 60</w:t>
      </w:r>
      <w:r>
        <w:rPr>
          <w:rFonts w:ascii="Arial" w:hAnsi="Arial" w:cs="Arial"/>
          <w:color w:val="000000"/>
        </w:rPr>
        <w:t xml:space="preserve">   </w:t>
      </w:r>
    </w:p>
    <w:p w:rsidR="00310295" w:rsidRDefault="00310295" w:rsidP="00310295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guidance </w:t>
      </w:r>
      <w:r w:rsidR="00CE7181">
        <w:rPr>
          <w:rFonts w:ascii="Arial" w:hAnsi="Arial" w:cs="Arial"/>
          <w:color w:val="000000"/>
          <w:sz w:val="22"/>
          <w:szCs w:val="22"/>
        </w:rPr>
        <w:t xml:space="preserve">was amended for the period of tighter national restrictions from the 5 November to the 2 December 2020 </w:t>
      </w:r>
      <w:r>
        <w:rPr>
          <w:rFonts w:ascii="Arial" w:hAnsi="Arial" w:cs="Arial"/>
          <w:color w:val="000000"/>
          <w:sz w:val="22"/>
          <w:szCs w:val="22"/>
        </w:rPr>
        <w:t>to reflect that those over 60 or also at a higher risk, although they do not fall into the CV or CEV category by virtue of their age.</w:t>
      </w:r>
    </w:p>
    <w:p w:rsidR="00310295" w:rsidRDefault="00310295" w:rsidP="00310295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However, they </w:t>
      </w:r>
      <w:r w:rsidR="00CE7181">
        <w:rPr>
          <w:rFonts w:ascii="Arial" w:hAnsi="Arial" w:cs="Arial"/>
          <w:color w:val="000000"/>
          <w:sz w:val="22"/>
          <w:szCs w:val="22"/>
        </w:rPr>
        <w:t>were</w:t>
      </w:r>
      <w:r w:rsidR="0094366D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94366D" w:rsidRPr="00465ED0">
        <w:rPr>
          <w:rFonts w:ascii="Arial" w:hAnsi="Arial" w:cs="Arial"/>
          <w:color w:val="000000"/>
          <w:sz w:val="22"/>
          <w:szCs w:val="22"/>
          <w:highlight w:val="yellow"/>
        </w:rPr>
        <w:t>are</w:t>
      </w:r>
      <w:r w:rsidRPr="00465ED0">
        <w:rPr>
          <w:rFonts w:ascii="Arial" w:hAnsi="Arial" w:cs="Arial"/>
          <w:color w:val="000000"/>
          <w:sz w:val="22"/>
          <w:szCs w:val="22"/>
          <w:highlight w:val="yellow"/>
        </w:rPr>
        <w:t xml:space="preserve"> able to remain working in school </w:t>
      </w:r>
      <w:r w:rsidR="0094366D" w:rsidRPr="00465ED0">
        <w:rPr>
          <w:rFonts w:ascii="Arial" w:hAnsi="Arial" w:cs="Arial"/>
          <w:color w:val="000000"/>
          <w:sz w:val="22"/>
          <w:szCs w:val="22"/>
          <w:highlight w:val="yellow"/>
        </w:rPr>
        <w:t>to support key worker and vulnerable children</w:t>
      </w:r>
      <w:r w:rsidR="0094366D">
        <w:rPr>
          <w:rFonts w:ascii="Arial" w:hAnsi="Arial" w:cs="Arial"/>
          <w:color w:val="000000"/>
          <w:sz w:val="22"/>
          <w:szCs w:val="22"/>
        </w:rPr>
        <w:t xml:space="preserve"> subject to the school having a whole school risk assessment in place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10295" w:rsidRDefault="00310295" w:rsidP="00310295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  <w:sz w:val="22"/>
          <w:szCs w:val="22"/>
        </w:rPr>
      </w:pPr>
      <w:r>
        <w:rPr>
          <w:rFonts w:ascii="Arial" w:hAnsi="Arial" w:cs="Arial"/>
          <w:color w:val="0B0C0C"/>
          <w:sz w:val="22"/>
          <w:szCs w:val="22"/>
        </w:rPr>
        <w:t xml:space="preserve">We would </w:t>
      </w:r>
      <w:r w:rsidR="00CE7181">
        <w:rPr>
          <w:rFonts w:ascii="Arial" w:hAnsi="Arial" w:cs="Arial"/>
          <w:color w:val="0B0C0C"/>
          <w:sz w:val="22"/>
          <w:szCs w:val="22"/>
        </w:rPr>
        <w:t xml:space="preserve">continue to </w:t>
      </w:r>
      <w:r>
        <w:rPr>
          <w:rFonts w:ascii="Arial" w:hAnsi="Arial" w:cs="Arial"/>
          <w:color w:val="0B0C0C"/>
          <w:sz w:val="22"/>
          <w:szCs w:val="22"/>
        </w:rPr>
        <w:t xml:space="preserve">advise that you have conversations with those over 60 to </w:t>
      </w:r>
      <w:r w:rsidR="00CE7181">
        <w:rPr>
          <w:rFonts w:ascii="Arial" w:hAnsi="Arial" w:cs="Arial"/>
          <w:color w:val="0B0C0C"/>
          <w:sz w:val="22"/>
          <w:szCs w:val="22"/>
        </w:rPr>
        <w:t xml:space="preserve">discuss highlight the higher risk factors </w:t>
      </w:r>
      <w:r>
        <w:rPr>
          <w:rFonts w:ascii="Arial" w:hAnsi="Arial" w:cs="Arial"/>
          <w:color w:val="0B0C0C"/>
          <w:sz w:val="22"/>
          <w:szCs w:val="22"/>
        </w:rPr>
        <w:t xml:space="preserve">and ensure they are aware of the government advice to be especially careful in following the full range of </w:t>
      </w:r>
      <w:r w:rsidR="00CE7181">
        <w:rPr>
          <w:rFonts w:ascii="Arial" w:hAnsi="Arial" w:cs="Arial"/>
          <w:color w:val="0B0C0C"/>
          <w:sz w:val="22"/>
          <w:szCs w:val="22"/>
        </w:rPr>
        <w:t>C</w:t>
      </w:r>
      <w:r>
        <w:rPr>
          <w:rFonts w:ascii="Arial" w:hAnsi="Arial" w:cs="Arial"/>
          <w:color w:val="0B0C0C"/>
          <w:sz w:val="22"/>
          <w:szCs w:val="22"/>
        </w:rPr>
        <w:t>ovid measures within and outside of work.</w:t>
      </w:r>
    </w:p>
    <w:p w:rsidR="00310295" w:rsidRDefault="00310295" w:rsidP="00310295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  <w:sz w:val="22"/>
          <w:szCs w:val="22"/>
        </w:rPr>
      </w:pPr>
      <w:r>
        <w:rPr>
          <w:rFonts w:ascii="Arial" w:hAnsi="Arial" w:cs="Arial"/>
          <w:color w:val="0B0C0C"/>
          <w:sz w:val="22"/>
          <w:szCs w:val="22"/>
        </w:rPr>
        <w:t xml:space="preserve">There is no requirement to undertake an individual risk assessment but this should be supported if </w:t>
      </w:r>
      <w:r w:rsidR="00CE7181">
        <w:rPr>
          <w:rFonts w:ascii="Arial" w:hAnsi="Arial" w:cs="Arial"/>
          <w:color w:val="0B0C0C"/>
          <w:sz w:val="22"/>
          <w:szCs w:val="22"/>
        </w:rPr>
        <w:t>these staff make this request.</w:t>
      </w:r>
      <w:bookmarkStart w:id="0" w:name="_GoBack"/>
      <w:bookmarkEnd w:id="0"/>
    </w:p>
    <w:p w:rsidR="00F041CC" w:rsidRPr="003F7653" w:rsidRDefault="00DE361F" w:rsidP="00F041CC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F041CC" w:rsidRPr="003F7653">
        <w:rPr>
          <w:rFonts w:ascii="Arial" w:hAnsi="Arial" w:cs="Arial"/>
          <w:b/>
          <w:sz w:val="22"/>
          <w:szCs w:val="22"/>
        </w:rPr>
        <w:t xml:space="preserve">. Employees from a Black, </w:t>
      </w:r>
      <w:r w:rsidR="00017269" w:rsidRPr="003F7653">
        <w:rPr>
          <w:rFonts w:ascii="Arial" w:hAnsi="Arial" w:cs="Arial"/>
          <w:b/>
          <w:sz w:val="22"/>
          <w:szCs w:val="22"/>
        </w:rPr>
        <w:t>Asian or Ethnic Minority (BAME)</w:t>
      </w:r>
      <w:r w:rsidR="00BB210F" w:rsidRPr="003F7653">
        <w:rPr>
          <w:rFonts w:ascii="Arial" w:hAnsi="Arial" w:cs="Arial"/>
          <w:b/>
          <w:sz w:val="22"/>
          <w:szCs w:val="22"/>
        </w:rPr>
        <w:t xml:space="preserve"> origin</w:t>
      </w:r>
    </w:p>
    <w:p w:rsidR="00BB210F" w:rsidRPr="003F7653" w:rsidRDefault="004C0983" w:rsidP="00BB210F">
      <w:pPr>
        <w:pStyle w:val="NormalWeb"/>
        <w:rPr>
          <w:rFonts w:ascii="Arial" w:hAnsi="Arial" w:cs="Arial"/>
          <w:sz w:val="22"/>
          <w:szCs w:val="22"/>
        </w:rPr>
      </w:pPr>
      <w:r w:rsidRPr="003F7653">
        <w:rPr>
          <w:rFonts w:ascii="Arial" w:hAnsi="Arial" w:cs="Arial"/>
          <w:sz w:val="22"/>
          <w:szCs w:val="22"/>
        </w:rPr>
        <w:t>National data indicates</w:t>
      </w:r>
      <w:r w:rsidR="00017269" w:rsidRPr="003F7653">
        <w:rPr>
          <w:rFonts w:ascii="Arial" w:hAnsi="Arial" w:cs="Arial"/>
          <w:sz w:val="22"/>
          <w:szCs w:val="22"/>
        </w:rPr>
        <w:t xml:space="preserve"> that t</w:t>
      </w:r>
      <w:r w:rsidRPr="003F7653">
        <w:rPr>
          <w:rFonts w:ascii="Arial" w:hAnsi="Arial" w:cs="Arial"/>
          <w:sz w:val="22"/>
          <w:szCs w:val="22"/>
        </w:rPr>
        <w:t>here is</w:t>
      </w:r>
      <w:r w:rsidR="00017269" w:rsidRPr="003F7653">
        <w:rPr>
          <w:rFonts w:ascii="Arial" w:hAnsi="Arial" w:cs="Arial"/>
          <w:sz w:val="22"/>
          <w:szCs w:val="22"/>
        </w:rPr>
        <w:t xml:space="preserve"> increased risk amongst BAME communities, in particular Black and Asian (African, Caribbean, Indian, Pakistani, </w:t>
      </w:r>
      <w:r w:rsidR="00BB210F" w:rsidRPr="003F7653">
        <w:rPr>
          <w:rFonts w:ascii="Arial" w:hAnsi="Arial" w:cs="Arial"/>
          <w:sz w:val="22"/>
          <w:szCs w:val="22"/>
        </w:rPr>
        <w:t>Bangladeshi, Filipino, Chinese and</w:t>
      </w:r>
      <w:r w:rsidRPr="003F7653">
        <w:rPr>
          <w:rFonts w:ascii="Arial" w:hAnsi="Arial" w:cs="Arial"/>
          <w:sz w:val="22"/>
          <w:szCs w:val="22"/>
        </w:rPr>
        <w:t xml:space="preserve"> </w:t>
      </w:r>
      <w:r w:rsidR="00017269" w:rsidRPr="003F7653">
        <w:rPr>
          <w:rFonts w:ascii="Arial" w:hAnsi="Arial" w:cs="Arial"/>
          <w:sz w:val="22"/>
          <w:szCs w:val="22"/>
        </w:rPr>
        <w:t>Japanese)</w:t>
      </w:r>
      <w:r w:rsidR="00D54799" w:rsidRPr="003F7653">
        <w:rPr>
          <w:rFonts w:ascii="Arial" w:hAnsi="Arial" w:cs="Arial"/>
          <w:sz w:val="22"/>
          <w:szCs w:val="22"/>
        </w:rPr>
        <w:t xml:space="preserve">.  </w:t>
      </w:r>
      <w:r w:rsidR="006F4015" w:rsidRPr="009E7497">
        <w:rPr>
          <w:rFonts w:ascii="Arial" w:hAnsi="Arial" w:cs="Arial"/>
          <w:sz w:val="22"/>
          <w:szCs w:val="22"/>
        </w:rPr>
        <w:t>NHS guidance indicates that BAME employees over 55 may be at more risk than those of non BAME origin</w:t>
      </w:r>
      <w:r w:rsidR="003F7B49" w:rsidRPr="009E7497">
        <w:rPr>
          <w:rFonts w:ascii="Arial" w:hAnsi="Arial" w:cs="Arial"/>
          <w:sz w:val="22"/>
          <w:szCs w:val="22"/>
        </w:rPr>
        <w:t xml:space="preserve"> especially if combined with other risk factors</w:t>
      </w:r>
      <w:r w:rsidR="00BF0B23" w:rsidRPr="009E7497">
        <w:rPr>
          <w:rFonts w:ascii="Arial" w:hAnsi="Arial" w:cs="Arial"/>
          <w:sz w:val="22"/>
          <w:szCs w:val="22"/>
        </w:rPr>
        <w:t>, including being male</w:t>
      </w:r>
      <w:r w:rsidR="003F7B49" w:rsidRPr="009E7497">
        <w:rPr>
          <w:rFonts w:ascii="Arial" w:hAnsi="Arial" w:cs="Arial"/>
          <w:sz w:val="22"/>
          <w:szCs w:val="22"/>
        </w:rPr>
        <w:t xml:space="preserve">.  </w:t>
      </w:r>
      <w:r w:rsidR="00BB210F" w:rsidRPr="009E7497">
        <w:rPr>
          <w:rFonts w:ascii="Arial" w:hAnsi="Arial" w:cs="Arial"/>
          <w:sz w:val="22"/>
          <w:szCs w:val="22"/>
        </w:rPr>
        <w:t>NHS Research</w:t>
      </w:r>
      <w:r w:rsidR="00BB210F" w:rsidRPr="003F7653">
        <w:rPr>
          <w:rFonts w:ascii="Arial" w:hAnsi="Arial" w:cs="Arial"/>
          <w:sz w:val="22"/>
          <w:szCs w:val="22"/>
        </w:rPr>
        <w:t xml:space="preserve"> also highlights that BAME employees are less likely to raise concerns</w:t>
      </w:r>
      <w:r w:rsidRPr="003F7653">
        <w:rPr>
          <w:rFonts w:ascii="Arial" w:hAnsi="Arial" w:cs="Arial"/>
          <w:sz w:val="22"/>
          <w:szCs w:val="22"/>
        </w:rPr>
        <w:t xml:space="preserve"> they may have for example around FIT testing for PPE due to beards, veils, turbans etc.  M</w:t>
      </w:r>
      <w:r w:rsidR="00BB210F" w:rsidRPr="003F7653">
        <w:rPr>
          <w:rFonts w:ascii="Arial" w:hAnsi="Arial" w:cs="Arial"/>
          <w:sz w:val="22"/>
          <w:szCs w:val="22"/>
        </w:rPr>
        <w:t xml:space="preserve">anagers should carry out an Individual Risk Assessment </w:t>
      </w:r>
      <w:r w:rsidRPr="003F7653">
        <w:rPr>
          <w:rFonts w:ascii="Arial" w:hAnsi="Arial" w:cs="Arial"/>
          <w:sz w:val="22"/>
          <w:szCs w:val="22"/>
        </w:rPr>
        <w:t xml:space="preserve">for </w:t>
      </w:r>
      <w:r w:rsidRPr="003F7653">
        <w:rPr>
          <w:rFonts w:ascii="Arial" w:hAnsi="Arial" w:cs="Arial"/>
          <w:b/>
          <w:sz w:val="22"/>
          <w:szCs w:val="22"/>
        </w:rPr>
        <w:t>Potentially Vulnerable Workers</w:t>
      </w:r>
      <w:r w:rsidRPr="003F7653">
        <w:rPr>
          <w:rFonts w:ascii="Arial" w:hAnsi="Arial" w:cs="Arial"/>
          <w:sz w:val="22"/>
          <w:szCs w:val="22"/>
        </w:rPr>
        <w:t xml:space="preserve"> with BAME </w:t>
      </w:r>
      <w:r w:rsidR="00BB210F" w:rsidRPr="003F7653">
        <w:rPr>
          <w:rFonts w:ascii="Arial" w:hAnsi="Arial" w:cs="Arial"/>
          <w:sz w:val="22"/>
          <w:szCs w:val="22"/>
        </w:rPr>
        <w:t>employees, to open up a conversation about what could</w:t>
      </w:r>
      <w:r w:rsidRPr="003F7653">
        <w:rPr>
          <w:rFonts w:ascii="Arial" w:hAnsi="Arial" w:cs="Arial"/>
          <w:sz w:val="22"/>
          <w:szCs w:val="22"/>
        </w:rPr>
        <w:t xml:space="preserve"> be done to help them</w:t>
      </w:r>
      <w:r w:rsidR="00D61432">
        <w:rPr>
          <w:rFonts w:ascii="Arial" w:hAnsi="Arial" w:cs="Arial"/>
          <w:sz w:val="22"/>
          <w:szCs w:val="22"/>
        </w:rPr>
        <w:t xml:space="preserve"> stay safe</w:t>
      </w:r>
      <w:r w:rsidRPr="003F7653">
        <w:rPr>
          <w:rFonts w:ascii="Arial" w:hAnsi="Arial" w:cs="Arial"/>
          <w:sz w:val="22"/>
          <w:szCs w:val="22"/>
        </w:rPr>
        <w:t xml:space="preserve"> if they are working outside of their own home.  </w:t>
      </w:r>
    </w:p>
    <w:p w:rsidR="00BB210F" w:rsidRPr="003F7653" w:rsidRDefault="004C0983" w:rsidP="00BB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F7653">
        <w:rPr>
          <w:rFonts w:ascii="Arial" w:hAnsi="Arial" w:cs="Arial"/>
          <w:b/>
          <w:bCs/>
        </w:rPr>
        <w:t>Risk Assessment for Potentially Vulnerable Workers</w:t>
      </w:r>
    </w:p>
    <w:p w:rsidR="004C0983" w:rsidRPr="003F7653" w:rsidRDefault="004C0983" w:rsidP="00BB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C0983" w:rsidRPr="003F7653" w:rsidRDefault="004C0983" w:rsidP="004C0983">
      <w:pPr>
        <w:rPr>
          <w:rFonts w:ascii="Arial" w:hAnsi="Arial" w:cs="Arial"/>
        </w:rPr>
      </w:pPr>
      <w:r w:rsidRPr="003F7653">
        <w:rPr>
          <w:rFonts w:ascii="Arial" w:hAnsi="Arial" w:cs="Arial"/>
        </w:rPr>
        <w:t>This will include</w:t>
      </w:r>
    </w:p>
    <w:p w:rsidR="004C0983" w:rsidRPr="003F7653" w:rsidRDefault="004C0983" w:rsidP="004C098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7653">
        <w:rPr>
          <w:rFonts w:ascii="Arial" w:hAnsi="Arial" w:cs="Arial"/>
        </w:rPr>
        <w:t xml:space="preserve">Ascertaining whether social distancing measures can be maintained </w:t>
      </w:r>
    </w:p>
    <w:p w:rsidR="004C0983" w:rsidRPr="003F7653" w:rsidRDefault="004C0983" w:rsidP="004C098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7653">
        <w:rPr>
          <w:rFonts w:ascii="Arial" w:hAnsi="Arial" w:cs="Arial"/>
        </w:rPr>
        <w:t>Considering any adjustments to the role e.g. limiting exposure to the public, working in alternative locations.</w:t>
      </w:r>
    </w:p>
    <w:p w:rsidR="004C0983" w:rsidRPr="003F7653" w:rsidRDefault="004C0983" w:rsidP="004C098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7653">
        <w:rPr>
          <w:rFonts w:ascii="Arial" w:hAnsi="Arial" w:cs="Arial"/>
        </w:rPr>
        <w:t>Ensuring that adequate training regarding infection control has been received and understood and PPE required for the role is in place</w:t>
      </w:r>
      <w:r w:rsidR="00EE5603" w:rsidRPr="003F7653">
        <w:rPr>
          <w:rFonts w:ascii="Arial" w:hAnsi="Arial" w:cs="Arial"/>
        </w:rPr>
        <w:t>.</w:t>
      </w:r>
    </w:p>
    <w:p w:rsidR="004C0983" w:rsidRPr="003F7653" w:rsidRDefault="004C0983" w:rsidP="004C098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7653">
        <w:rPr>
          <w:rFonts w:ascii="Arial" w:hAnsi="Arial" w:cs="Arial"/>
        </w:rPr>
        <w:t xml:space="preserve">Considering travel to work. Can the individual have different start times to accommodate use of public transport or use other means of </w:t>
      </w:r>
      <w:r w:rsidR="00EE5603" w:rsidRPr="003F7653">
        <w:rPr>
          <w:rFonts w:ascii="Arial" w:hAnsi="Arial" w:cs="Arial"/>
        </w:rPr>
        <w:t>travel?</w:t>
      </w:r>
    </w:p>
    <w:p w:rsidR="004C0983" w:rsidRPr="003F7653" w:rsidRDefault="004C0983" w:rsidP="004C098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7653">
        <w:rPr>
          <w:rFonts w:ascii="Arial" w:hAnsi="Arial" w:cs="Arial"/>
        </w:rPr>
        <w:t>Considering different job roles or redeployment to a lower risk activity as a temporary measure.</w:t>
      </w:r>
    </w:p>
    <w:p w:rsidR="003F7653" w:rsidRPr="003F7653" w:rsidRDefault="00E72BD2" w:rsidP="002C25D5">
      <w:pPr>
        <w:rPr>
          <w:rFonts w:ascii="Arial" w:hAnsi="Arial" w:cs="Arial"/>
        </w:rPr>
      </w:pPr>
      <w:r>
        <w:rPr>
          <w:rFonts w:ascii="Arial" w:hAnsi="Arial" w:cs="Arial"/>
        </w:rPr>
        <w:t>Headteachers</w:t>
      </w:r>
      <w:r w:rsidR="003F7653" w:rsidRPr="003F7653">
        <w:rPr>
          <w:rFonts w:ascii="Arial" w:hAnsi="Arial" w:cs="Arial"/>
        </w:rPr>
        <w:t xml:space="preserve"> must regularly monitor and review the risk assessment with the individual to ensure that that it is operating effectively and adjust accordingly. Individuals should </w:t>
      </w:r>
      <w:r w:rsidR="0094366D">
        <w:rPr>
          <w:rFonts w:ascii="Arial" w:hAnsi="Arial" w:cs="Arial"/>
        </w:rPr>
        <w:t xml:space="preserve">be encouraged to </w:t>
      </w:r>
      <w:r w:rsidR="003F7653" w:rsidRPr="003F7653">
        <w:rPr>
          <w:rFonts w:ascii="Arial" w:hAnsi="Arial" w:cs="Arial"/>
        </w:rPr>
        <w:t xml:space="preserve">raise any concerns with their </w:t>
      </w:r>
      <w:r>
        <w:rPr>
          <w:rFonts w:ascii="Arial" w:hAnsi="Arial" w:cs="Arial"/>
        </w:rPr>
        <w:t>Headteacher</w:t>
      </w:r>
      <w:r w:rsidR="003F7653" w:rsidRPr="003F7653">
        <w:rPr>
          <w:rFonts w:ascii="Arial" w:hAnsi="Arial" w:cs="Arial"/>
        </w:rPr>
        <w:t xml:space="preserve"> as soon as possible.</w:t>
      </w:r>
    </w:p>
    <w:sectPr w:rsidR="003F7653" w:rsidRPr="003F7653" w:rsidSect="0094366D">
      <w:foot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D2" w:rsidRDefault="00E72BD2" w:rsidP="00E72BD2">
      <w:pPr>
        <w:spacing w:after="0" w:line="240" w:lineRule="auto"/>
      </w:pPr>
      <w:r>
        <w:separator/>
      </w:r>
    </w:p>
  </w:endnote>
  <w:endnote w:type="continuationSeparator" w:id="0">
    <w:p w:rsidR="00E72BD2" w:rsidRDefault="00E72BD2" w:rsidP="00E7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920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BD2" w:rsidRDefault="00E72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BD2" w:rsidRDefault="00E7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D2" w:rsidRDefault="00E72BD2" w:rsidP="00E72BD2">
      <w:pPr>
        <w:spacing w:after="0" w:line="240" w:lineRule="auto"/>
      </w:pPr>
      <w:r>
        <w:separator/>
      </w:r>
    </w:p>
  </w:footnote>
  <w:footnote w:type="continuationSeparator" w:id="0">
    <w:p w:rsidR="00E72BD2" w:rsidRDefault="00E72BD2" w:rsidP="00E7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212A"/>
    <w:multiLevelType w:val="hybridMultilevel"/>
    <w:tmpl w:val="EC1C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D015F"/>
    <w:multiLevelType w:val="hybridMultilevel"/>
    <w:tmpl w:val="930EE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A79A5"/>
    <w:multiLevelType w:val="multilevel"/>
    <w:tmpl w:val="F566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F6816"/>
    <w:multiLevelType w:val="multilevel"/>
    <w:tmpl w:val="CADAB4E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A17198"/>
    <w:multiLevelType w:val="hybridMultilevel"/>
    <w:tmpl w:val="4030C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06440"/>
    <w:multiLevelType w:val="hybridMultilevel"/>
    <w:tmpl w:val="DCBA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C2"/>
    <w:rsid w:val="00017269"/>
    <w:rsid w:val="0008409C"/>
    <w:rsid w:val="00096853"/>
    <w:rsid w:val="000C1C57"/>
    <w:rsid w:val="00110573"/>
    <w:rsid w:val="00144421"/>
    <w:rsid w:val="001B3D3C"/>
    <w:rsid w:val="001C066F"/>
    <w:rsid w:val="001C2A2B"/>
    <w:rsid w:val="00241699"/>
    <w:rsid w:val="00242C21"/>
    <w:rsid w:val="002752A3"/>
    <w:rsid w:val="0029332B"/>
    <w:rsid w:val="002C25D5"/>
    <w:rsid w:val="00310295"/>
    <w:rsid w:val="003F7653"/>
    <w:rsid w:val="003F7B49"/>
    <w:rsid w:val="00407539"/>
    <w:rsid w:val="004126F0"/>
    <w:rsid w:val="00465ED0"/>
    <w:rsid w:val="004C0983"/>
    <w:rsid w:val="00511C96"/>
    <w:rsid w:val="0055530D"/>
    <w:rsid w:val="005561CD"/>
    <w:rsid w:val="005714BE"/>
    <w:rsid w:val="005C4998"/>
    <w:rsid w:val="005E0B08"/>
    <w:rsid w:val="005E4BD9"/>
    <w:rsid w:val="00656AA6"/>
    <w:rsid w:val="00664DF4"/>
    <w:rsid w:val="006665C5"/>
    <w:rsid w:val="006D0831"/>
    <w:rsid w:val="006F4015"/>
    <w:rsid w:val="007C6317"/>
    <w:rsid w:val="008616DC"/>
    <w:rsid w:val="00942A0C"/>
    <w:rsid w:val="0094366D"/>
    <w:rsid w:val="009908B4"/>
    <w:rsid w:val="009C3688"/>
    <w:rsid w:val="009C5BE0"/>
    <w:rsid w:val="009E7497"/>
    <w:rsid w:val="009F217F"/>
    <w:rsid w:val="00A7593F"/>
    <w:rsid w:val="00AA5BF2"/>
    <w:rsid w:val="00AC1F1C"/>
    <w:rsid w:val="00BB210F"/>
    <w:rsid w:val="00BC2F5D"/>
    <w:rsid w:val="00BF09BA"/>
    <w:rsid w:val="00BF0B23"/>
    <w:rsid w:val="00C30788"/>
    <w:rsid w:val="00C4369E"/>
    <w:rsid w:val="00C45245"/>
    <w:rsid w:val="00CB51C2"/>
    <w:rsid w:val="00CE7181"/>
    <w:rsid w:val="00D54799"/>
    <w:rsid w:val="00D61432"/>
    <w:rsid w:val="00D62C28"/>
    <w:rsid w:val="00DE361F"/>
    <w:rsid w:val="00E12A83"/>
    <w:rsid w:val="00E72BD2"/>
    <w:rsid w:val="00EE5603"/>
    <w:rsid w:val="00F041CC"/>
    <w:rsid w:val="00F10BAC"/>
    <w:rsid w:val="00F44FB1"/>
    <w:rsid w:val="00FA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39E2"/>
  <w15:chartTrackingRefBased/>
  <w15:docId w15:val="{43AC1EB4-CBFF-4F77-8468-1C4F1DAF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041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1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7269"/>
    <w:pPr>
      <w:spacing w:line="256" w:lineRule="auto"/>
      <w:ind w:left="720"/>
      <w:contextualSpacing/>
    </w:pPr>
  </w:style>
  <w:style w:type="paragraph" w:customStyle="1" w:styleId="Default">
    <w:name w:val="Default"/>
    <w:rsid w:val="00D5479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D2"/>
  </w:style>
  <w:style w:type="paragraph" w:styleId="Footer">
    <w:name w:val="footer"/>
    <w:basedOn w:val="Normal"/>
    <w:link w:val="FooterChar"/>
    <w:uiPriority w:val="99"/>
    <w:unhideWhenUsed/>
    <w:rsid w:val="00E72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cog.org.uk/en/guidelines-research-services/guidelines/coronavirus-pregnancy/covid-19-virus-infection-and-pregn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Sue</dc:creator>
  <cp:keywords/>
  <dc:description/>
  <cp:lastModifiedBy>Hulsmeier, Rebecca</cp:lastModifiedBy>
  <cp:revision>2</cp:revision>
  <dcterms:created xsi:type="dcterms:W3CDTF">2021-01-05T18:00:00Z</dcterms:created>
  <dcterms:modified xsi:type="dcterms:W3CDTF">2021-01-05T18:00:00Z</dcterms:modified>
</cp:coreProperties>
</file>